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72" w:rsidRDefault="00840372" w:rsidP="00840372">
      <w:r>
        <w:t xml:space="preserve">Rubric for Summary-Reaction Papers </w:t>
      </w:r>
    </w:p>
    <w:tbl>
      <w:tblPr>
        <w:tblStyle w:val="TableGrid"/>
        <w:tblW w:w="0" w:type="auto"/>
        <w:tblLook w:val="04A0"/>
      </w:tblPr>
      <w:tblGrid>
        <w:gridCol w:w="1023"/>
        <w:gridCol w:w="8553"/>
      </w:tblGrid>
      <w:tr w:rsidR="00840372" w:rsidTr="004D127D">
        <w:tc>
          <w:tcPr>
            <w:tcW w:w="738" w:type="dxa"/>
          </w:tcPr>
          <w:p w:rsidR="00840372" w:rsidRDefault="00840372" w:rsidP="004D127D">
            <w:r>
              <w:t>–</w:t>
            </w:r>
          </w:p>
        </w:tc>
        <w:tc>
          <w:tcPr>
            <w:tcW w:w="8838" w:type="dxa"/>
          </w:tcPr>
          <w:p w:rsidR="00840372" w:rsidRDefault="00840372" w:rsidP="00840372">
            <w:r>
              <w:t>The summary does not identify the article’s thesis; may be difficult to follow; may be incomplete; may be confused concerning factual details.  The response is superficial (e.g., this idea is interesting) and does not explore why you reacted as you did.</w:t>
            </w:r>
          </w:p>
        </w:tc>
      </w:tr>
      <w:tr w:rsidR="00840372" w:rsidTr="004D127D">
        <w:tc>
          <w:tcPr>
            <w:tcW w:w="738" w:type="dxa"/>
          </w:tcPr>
          <w:p w:rsidR="00840372" w:rsidRDefault="00840372" w:rsidP="004D127D">
            <w:r>
              <w:t>ok</w:t>
            </w:r>
          </w:p>
        </w:tc>
        <w:tc>
          <w:tcPr>
            <w:tcW w:w="8838" w:type="dxa"/>
          </w:tcPr>
          <w:p w:rsidR="00840372" w:rsidRDefault="00840372" w:rsidP="00F83D5C">
            <w:r>
              <w:t xml:space="preserve">The summary may </w:t>
            </w:r>
            <w:r w:rsidR="003359C9">
              <w:t xml:space="preserve">identify a portion of the author’s thesis or argument; may </w:t>
            </w:r>
            <w:r>
              <w:t>include a series of assertions without referencing specific primary sources that support the author’s thesis</w:t>
            </w:r>
            <w:r w:rsidR="003359C9">
              <w:t>;</w:t>
            </w:r>
            <w:r>
              <w:t xml:space="preserve"> may </w:t>
            </w:r>
            <w:r w:rsidR="003359C9">
              <w:t xml:space="preserve">list </w:t>
            </w:r>
            <w:r>
              <w:t xml:space="preserve">multiple </w:t>
            </w:r>
            <w:r w:rsidR="003359C9">
              <w:t>elements in the argument</w:t>
            </w:r>
            <w:r>
              <w:t xml:space="preserve">, but </w:t>
            </w:r>
            <w:r w:rsidR="003359C9">
              <w:t xml:space="preserve">does not show how these </w:t>
            </w:r>
            <w:proofErr w:type="spellStart"/>
            <w:r w:rsidR="003359C9">
              <w:t>subpoints</w:t>
            </w:r>
            <w:proofErr w:type="spellEnd"/>
            <w:r w:rsidR="003359C9">
              <w:t xml:space="preserve"> are related to each other</w:t>
            </w:r>
            <w:r>
              <w:t xml:space="preserve">; </w:t>
            </w:r>
            <w:r w:rsidR="003359C9">
              <w:t xml:space="preserve">may lack </w:t>
            </w:r>
            <w:r>
              <w:t>specific evidence to support the author’s claims.</w:t>
            </w:r>
            <w:r w:rsidR="003359C9">
              <w:t xml:space="preserve">  The response may discuss one or two points but only brief</w:t>
            </w:r>
            <w:r w:rsidR="00F83D5C">
              <w:t>ly and without enough</w:t>
            </w:r>
            <w:r w:rsidR="003359C9">
              <w:t xml:space="preserve"> explanation </w:t>
            </w:r>
            <w:r w:rsidR="00F83D5C">
              <w:t xml:space="preserve">for the reader to understand </w:t>
            </w:r>
            <w:r w:rsidR="003359C9">
              <w:t>your thoughts.</w:t>
            </w:r>
          </w:p>
        </w:tc>
      </w:tr>
      <w:tr w:rsidR="00840372" w:rsidTr="004D127D">
        <w:tc>
          <w:tcPr>
            <w:tcW w:w="738" w:type="dxa"/>
          </w:tcPr>
          <w:p w:rsidR="00840372" w:rsidRDefault="00840372" w:rsidP="004D127D">
            <w:r>
              <w:t>fine</w:t>
            </w:r>
          </w:p>
        </w:tc>
        <w:tc>
          <w:tcPr>
            <w:tcW w:w="8838" w:type="dxa"/>
          </w:tcPr>
          <w:p w:rsidR="00840372" w:rsidRDefault="00840372" w:rsidP="0098577B">
            <w:r>
              <w:t xml:space="preserve">The summary identifies the author’s thesis and outlines most of the article, but may </w:t>
            </w:r>
            <w:r w:rsidR="003359C9">
              <w:t>be missing a portion of the argument; includes some of the primary evidence that the author ha</w:t>
            </w:r>
            <w:r w:rsidR="0098577B">
              <w:t xml:space="preserve">s utilized to prove her thesis, but </w:t>
            </w:r>
            <w:r>
              <w:t>may leave out other examples important for exploring the thesis</w:t>
            </w:r>
            <w:r w:rsidR="0098577B">
              <w:t>. The response develops one or two points well enough that the reader can understand your ideas.</w:t>
            </w:r>
          </w:p>
        </w:tc>
      </w:tr>
      <w:tr w:rsidR="00840372" w:rsidTr="004D127D">
        <w:tc>
          <w:tcPr>
            <w:tcW w:w="738" w:type="dxa"/>
          </w:tcPr>
          <w:p w:rsidR="00840372" w:rsidRDefault="00840372" w:rsidP="004D127D">
            <w:r>
              <w:t>good</w:t>
            </w:r>
          </w:p>
        </w:tc>
        <w:tc>
          <w:tcPr>
            <w:tcW w:w="8838" w:type="dxa"/>
          </w:tcPr>
          <w:p w:rsidR="00840372" w:rsidRDefault="004D127D" w:rsidP="0098577B">
            <w:r>
              <w:t xml:space="preserve">The summary </w:t>
            </w:r>
            <w:r w:rsidR="0098577B">
              <w:t xml:space="preserve">clearly </w:t>
            </w:r>
            <w:r>
              <w:t>identifies the author’s thesis and paraphrases the major points in the author’s argument</w:t>
            </w:r>
            <w:r w:rsidR="0098577B">
              <w:t xml:space="preserve"> well</w:t>
            </w:r>
            <w:r>
              <w:t xml:space="preserve">.  </w:t>
            </w:r>
            <w:r w:rsidR="0098577B">
              <w:t xml:space="preserve">The response offers clear reasons why you may disagree with the author (e.g., the author’s makes unreasonable assumptions or leaves out evidence) or how this article has increased your understanding of the primary text(s) (e.g., by showing how the ideas in the article may apply to other characters, issues, or themes). </w:t>
            </w:r>
          </w:p>
        </w:tc>
      </w:tr>
      <w:tr w:rsidR="00840372" w:rsidTr="004D127D">
        <w:tc>
          <w:tcPr>
            <w:tcW w:w="738" w:type="dxa"/>
          </w:tcPr>
          <w:p w:rsidR="00840372" w:rsidRDefault="00840372" w:rsidP="004D127D">
            <w:r>
              <w:t>very good</w:t>
            </w:r>
          </w:p>
        </w:tc>
        <w:tc>
          <w:tcPr>
            <w:tcW w:w="8838" w:type="dxa"/>
          </w:tcPr>
          <w:p w:rsidR="00840372" w:rsidRDefault="004D127D" w:rsidP="0098577B">
            <w:r>
              <w:t>The summary reveals a deep understanding of the author’s argument; b</w:t>
            </w:r>
            <w:r w:rsidR="00840372">
              <w:t xml:space="preserve">rings together multiple strands of evidence into a coherent whole; sets each piece of evidence into a clear context and interprets the evidence clearly, connecting it to the </w:t>
            </w:r>
            <w:r>
              <w:t>author’s thesis.</w:t>
            </w:r>
            <w:r w:rsidR="00840372">
              <w:t xml:space="preserve"> </w:t>
            </w:r>
            <w:r w:rsidR="0098577B">
              <w:t xml:space="preserve"> The response clearly and cogently shows how the article has provided a springboard for your ideas and offers a new perspective on our understanding of the primary text.</w:t>
            </w:r>
          </w:p>
        </w:tc>
      </w:tr>
      <w:tr w:rsidR="00840372" w:rsidTr="004D127D">
        <w:tc>
          <w:tcPr>
            <w:tcW w:w="738" w:type="dxa"/>
          </w:tcPr>
          <w:p w:rsidR="00840372" w:rsidRDefault="00840372" w:rsidP="004D127D">
            <w:r>
              <w:t>excellent</w:t>
            </w:r>
          </w:p>
        </w:tc>
        <w:tc>
          <w:tcPr>
            <w:tcW w:w="8838" w:type="dxa"/>
          </w:tcPr>
          <w:p w:rsidR="00840372" w:rsidRDefault="00840372" w:rsidP="004D127D">
            <w:r>
              <w:t xml:space="preserve">Insightful </w:t>
            </w:r>
            <w:r w:rsidR="0098577B">
              <w:t xml:space="preserve">restating of the </w:t>
            </w:r>
            <w:r>
              <w:t xml:space="preserve">thesis; adduces good evidence, clearly interpreted and explained; includes all the relevant evidence. </w:t>
            </w:r>
            <w:r w:rsidR="004D127D">
              <w:t>The best papers may tie the evidence in the article under discussion with other readings or themes of the course or with other passages from our primary text, may suggest new implications for understanding the topic, or make connections with modern events, settings, or themes.</w:t>
            </w:r>
          </w:p>
        </w:tc>
      </w:tr>
    </w:tbl>
    <w:p w:rsidR="001515C4" w:rsidRDefault="001515C4"/>
    <w:sectPr w:rsidR="001515C4" w:rsidSect="00151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840372"/>
    <w:rsid w:val="001515C4"/>
    <w:rsid w:val="003359C9"/>
    <w:rsid w:val="004D127D"/>
    <w:rsid w:val="00840372"/>
    <w:rsid w:val="0098577B"/>
    <w:rsid w:val="00F838A7"/>
    <w:rsid w:val="00F83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Gruber-Miller</dc:creator>
  <cp:keywords/>
  <dc:description/>
  <cp:lastModifiedBy>John Gruber-Miller</cp:lastModifiedBy>
  <cp:revision>2</cp:revision>
  <dcterms:created xsi:type="dcterms:W3CDTF">2012-04-22T20:14:00Z</dcterms:created>
  <dcterms:modified xsi:type="dcterms:W3CDTF">2012-04-22T20:14:00Z</dcterms:modified>
</cp:coreProperties>
</file>